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66" w:rsidRDefault="00815E66" w:rsidP="00815E66">
      <w:pPr>
        <w:jc w:val="center"/>
        <w:rPr>
          <w:rFonts w:ascii="仿宋_GB2312" w:eastAsia="仿宋_GB2312"/>
          <w:sz w:val="32"/>
          <w:szCs w:val="30"/>
        </w:rPr>
      </w:pPr>
      <w:r w:rsidRPr="00815E66">
        <w:rPr>
          <w:rFonts w:ascii="仿宋_GB2312" w:eastAsia="仿宋_GB2312" w:hint="eastAsia"/>
          <w:sz w:val="32"/>
          <w:szCs w:val="30"/>
        </w:rPr>
        <w:t>学校会议、论坛经费</w:t>
      </w:r>
      <w:r w:rsidR="00EF4CF4">
        <w:rPr>
          <w:rFonts w:ascii="仿宋_GB2312" w:eastAsia="仿宋_GB2312" w:hint="eastAsia"/>
          <w:sz w:val="32"/>
          <w:szCs w:val="30"/>
        </w:rPr>
        <w:t>预算</w:t>
      </w:r>
      <w:r w:rsidRPr="00815E66">
        <w:rPr>
          <w:rFonts w:ascii="仿宋_GB2312" w:eastAsia="仿宋_GB2312" w:hint="eastAsia"/>
          <w:sz w:val="32"/>
          <w:szCs w:val="30"/>
        </w:rPr>
        <w:t>填报说明</w:t>
      </w:r>
    </w:p>
    <w:p w:rsidR="00815E66" w:rsidRPr="00815E66" w:rsidRDefault="00815E66" w:rsidP="00815E66">
      <w:pPr>
        <w:jc w:val="center"/>
        <w:rPr>
          <w:rFonts w:ascii="仿宋_GB2312" w:eastAsia="仿宋_GB2312"/>
          <w:sz w:val="32"/>
          <w:szCs w:val="30"/>
        </w:rPr>
      </w:pPr>
    </w:p>
    <w:p w:rsidR="00815E66" w:rsidRDefault="00815E66" w:rsidP="00815E66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</w:t>
      </w:r>
      <w:r w:rsidRPr="00B331C8">
        <w:rPr>
          <w:rFonts w:ascii="仿宋_GB2312" w:eastAsia="仿宋_GB2312" w:hint="eastAsia"/>
          <w:sz w:val="30"/>
          <w:szCs w:val="30"/>
        </w:rPr>
        <w:t>各部门有需要承办会议及论坛的，必须严格履行《吉林省省直机关会议费管理办法》（吉财行[2014]44号）要求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不得超支。</w:t>
      </w:r>
    </w:p>
    <w:p w:rsidR="00815E66" w:rsidRPr="004128E0" w:rsidRDefault="00EF4CF4" w:rsidP="00815E66">
      <w:pPr>
        <w:ind w:firstLineChars="200" w:firstLine="60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/>
          <w:sz w:val="30"/>
          <w:szCs w:val="30"/>
        </w:rPr>
        <w:t>、</w:t>
      </w:r>
      <w:r w:rsidRPr="007E5D3E">
        <w:rPr>
          <w:rFonts w:ascii="仿宋" w:eastAsia="仿宋" w:hAnsi="仿宋" w:hint="eastAsia"/>
          <w:sz w:val="32"/>
          <w:szCs w:val="32"/>
        </w:rPr>
        <w:t>学术会议费预算实行财政指标定额控制，预算编报由科研处归口管理。每年预算申报时各部门应向科研处报送年度学术会议费预算，由科研处统一审核汇总后报财务处，</w:t>
      </w:r>
      <w:r w:rsidRPr="004128E0">
        <w:rPr>
          <w:rFonts w:ascii="仿宋" w:eastAsia="仿宋" w:hAnsi="仿宋" w:hint="eastAsia"/>
          <w:sz w:val="32"/>
          <w:szCs w:val="32"/>
        </w:rPr>
        <w:t>未纳入年度学术会议费预算的一律不予受理。</w:t>
      </w:r>
    </w:p>
    <w:p w:rsidR="00EF4CF4" w:rsidRDefault="00EF4CF4" w:rsidP="00815E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28E0">
        <w:rPr>
          <w:rFonts w:ascii="仿宋" w:eastAsia="仿宋" w:hAnsi="仿宋" w:hint="eastAsia"/>
          <w:sz w:val="32"/>
          <w:szCs w:val="32"/>
        </w:rPr>
        <w:t>三、会议通知中明确向与会人员收取会务费的，不得向学校申请会议费预算。</w:t>
      </w:r>
    </w:p>
    <w:p w:rsidR="00EF4CF4" w:rsidRDefault="00EF4CF4" w:rsidP="00815E6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E5D3E">
        <w:rPr>
          <w:rFonts w:ascii="仿宋" w:eastAsia="仿宋" w:hAnsi="仿宋" w:hint="eastAsia"/>
          <w:sz w:val="32"/>
          <w:szCs w:val="32"/>
        </w:rPr>
        <w:t>学术会议费开支范围包括会议住宿费、伙食费、会议室租金、交通费、文件印刷费、医药费等。学术会议费开支实行综合定额控制，各项费用之间可以调剂使用，在综合定额标准以内据实报销。</w:t>
      </w:r>
    </w:p>
    <w:p w:rsidR="00172E2C" w:rsidRDefault="00EF4CF4" w:rsidP="00EF4C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、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我校按《吉林省省直机关学术会议费管理办法》中规定的四类会议综合定额标准（</w:t>
      </w:r>
      <w:r w:rsidRPr="00EF4CF4">
        <w:rPr>
          <w:rFonts w:ascii="仿宋" w:eastAsia="仿宋" w:hAnsi="仿宋"/>
          <w:sz w:val="32"/>
          <w:szCs w:val="32"/>
          <w:highlight w:val="yellow"/>
        </w:rPr>
        <w:t>300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元</w:t>
      </w:r>
      <w:r w:rsidRPr="00EF4CF4">
        <w:rPr>
          <w:rFonts w:ascii="仿宋" w:eastAsia="仿宋" w:hAnsi="仿宋"/>
          <w:sz w:val="32"/>
          <w:szCs w:val="32"/>
          <w:highlight w:val="yellow"/>
        </w:rPr>
        <w:t>/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人天，其中：住宿费</w:t>
      </w:r>
      <w:r w:rsidRPr="00EF4CF4">
        <w:rPr>
          <w:rFonts w:ascii="仿宋" w:eastAsia="仿宋" w:hAnsi="仿宋"/>
          <w:sz w:val="32"/>
          <w:szCs w:val="32"/>
          <w:highlight w:val="yellow"/>
        </w:rPr>
        <w:t>150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元</w:t>
      </w:r>
      <w:r w:rsidRPr="00EF4CF4">
        <w:rPr>
          <w:rFonts w:ascii="仿宋" w:eastAsia="仿宋" w:hAnsi="仿宋"/>
          <w:sz w:val="32"/>
          <w:szCs w:val="32"/>
          <w:highlight w:val="yellow"/>
        </w:rPr>
        <w:t>/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人天、伙食费</w:t>
      </w:r>
      <w:r w:rsidRPr="00EF4CF4">
        <w:rPr>
          <w:rFonts w:ascii="仿宋" w:eastAsia="仿宋" w:hAnsi="仿宋"/>
          <w:sz w:val="32"/>
          <w:szCs w:val="32"/>
          <w:highlight w:val="yellow"/>
        </w:rPr>
        <w:t>100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元</w:t>
      </w:r>
      <w:r w:rsidRPr="00EF4CF4">
        <w:rPr>
          <w:rFonts w:ascii="仿宋" w:eastAsia="仿宋" w:hAnsi="仿宋"/>
          <w:sz w:val="32"/>
          <w:szCs w:val="32"/>
          <w:highlight w:val="yellow"/>
        </w:rPr>
        <w:t>/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人天，其他费用</w:t>
      </w:r>
      <w:r w:rsidRPr="00EF4CF4">
        <w:rPr>
          <w:rFonts w:ascii="仿宋" w:eastAsia="仿宋" w:hAnsi="仿宋"/>
          <w:sz w:val="32"/>
          <w:szCs w:val="32"/>
          <w:highlight w:val="yellow"/>
        </w:rPr>
        <w:t>50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元</w:t>
      </w:r>
      <w:r w:rsidRPr="00EF4CF4">
        <w:rPr>
          <w:rFonts w:ascii="仿宋" w:eastAsia="仿宋" w:hAnsi="仿宋"/>
          <w:sz w:val="32"/>
          <w:szCs w:val="32"/>
          <w:highlight w:val="yellow"/>
        </w:rPr>
        <w:t>/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人天）执行。原则上学术会议会期不得超过1天，会议报到和离开时间不得超过</w:t>
      </w:r>
      <w:r w:rsidRPr="00EF4CF4">
        <w:rPr>
          <w:rFonts w:ascii="仿宋" w:eastAsia="仿宋" w:hAnsi="仿宋"/>
          <w:sz w:val="32"/>
          <w:szCs w:val="32"/>
          <w:highlight w:val="yellow"/>
        </w:rPr>
        <w:t>1</w:t>
      </w:r>
      <w:r w:rsidRPr="00EF4CF4">
        <w:rPr>
          <w:rFonts w:ascii="仿宋" w:eastAsia="仿宋" w:hAnsi="仿宋" w:hint="eastAsia"/>
          <w:sz w:val="32"/>
          <w:szCs w:val="32"/>
          <w:highlight w:val="yellow"/>
        </w:rPr>
        <w:t>天。</w:t>
      </w:r>
      <w:r w:rsidR="002C0074">
        <w:rPr>
          <w:rFonts w:ascii="仿宋" w:eastAsia="仿宋" w:hAnsi="仿宋" w:hint="eastAsia"/>
          <w:sz w:val="32"/>
          <w:szCs w:val="32"/>
          <w:highlight w:val="yellow"/>
        </w:rPr>
        <w:t>实际报销时不得超过签到人员数乘以相应标准。</w:t>
      </w:r>
    </w:p>
    <w:p w:rsidR="00EF4CF4" w:rsidRPr="00EF4CF4" w:rsidRDefault="00EF4CF4" w:rsidP="00EF4C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、</w:t>
      </w:r>
      <w:r w:rsidRPr="00EF4CF4">
        <w:rPr>
          <w:rFonts w:ascii="仿宋" w:eastAsia="仿宋" w:hAnsi="仿宋" w:hint="eastAsia"/>
          <w:sz w:val="32"/>
          <w:szCs w:val="32"/>
        </w:rPr>
        <w:t>不安排住宿的会议，综合定额按照扣除住宿费后的</w:t>
      </w:r>
      <w:r w:rsidRPr="00EF4CF4">
        <w:rPr>
          <w:rFonts w:ascii="仿宋" w:eastAsia="仿宋" w:hAnsi="仿宋" w:hint="eastAsia"/>
          <w:sz w:val="32"/>
          <w:szCs w:val="32"/>
        </w:rPr>
        <w:lastRenderedPageBreak/>
        <w:t>定额标准执行，住宿费不能调剂使用；不安排就餐的会议，综合定额按照扣除伙食费后的定额标准执行，伙食费不能调剂使用。</w:t>
      </w:r>
    </w:p>
    <w:p w:rsidR="00EF4CF4" w:rsidRDefault="00EF4CF4" w:rsidP="00EF4C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EF4CF4">
        <w:rPr>
          <w:rFonts w:ascii="仿宋" w:eastAsia="仿宋" w:hAnsi="仿宋" w:hint="eastAsia"/>
          <w:sz w:val="32"/>
          <w:szCs w:val="32"/>
        </w:rPr>
        <w:t>、对确因工作需要，邀请专家、学者和有关人员参加学术会议所发生的城市间交通费，可以在差旅费中报销。向邀请参会专家发放的咨询费、讲课费和会务工作人员劳务费，按有关规定执行，不得在学术会议费中列支。</w:t>
      </w:r>
    </w:p>
    <w:p w:rsidR="00EF4CF4" w:rsidRPr="007E5D3E" w:rsidRDefault="00EF4CF4" w:rsidP="00EF4C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、</w:t>
      </w:r>
      <w:r w:rsidRPr="007E5D3E">
        <w:rPr>
          <w:rFonts w:ascii="仿宋" w:eastAsia="仿宋" w:hAnsi="仿宋" w:hint="eastAsia"/>
          <w:sz w:val="32"/>
          <w:szCs w:val="32"/>
        </w:rPr>
        <w:t>召开会议应当坚持厉行节约、反对浪费、规范简朴、务实高效的原则，会议原则上在校内举行，确因工作需要，经学校分管领导批准，可租用与会人员所住宾馆会议室，场租费列入学术会议费报销。各部门应严格执行会议用房标准，不得安排高档套房；会议用餐严格控制菜品种类、数量和份量，安排自助餐，严禁提供高档菜肴，不安排宴请，不上烟酒；会议会场一律不摆花草，不制作背景板，不提供水果。</w:t>
      </w:r>
    </w:p>
    <w:p w:rsidR="00EF4CF4" w:rsidRPr="007E5D3E" w:rsidRDefault="00EF4CF4" w:rsidP="00EF4C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5D3E">
        <w:rPr>
          <w:rFonts w:ascii="仿宋" w:eastAsia="仿宋" w:hAnsi="仿宋" w:hint="eastAsia"/>
          <w:sz w:val="32"/>
          <w:szCs w:val="32"/>
        </w:rPr>
        <w:t>不得使用学术会议费购置电脑、复印机、打印机、传真机等固定资产以及开支与本次会议无关的其他费用；不得组织会议代表旅游和与会议无关的参观；严禁组织高消费娱乐、健身活动；严禁以任何名义发放纪念品；不得额外配发洗漱用品。</w:t>
      </w:r>
    </w:p>
    <w:p w:rsidR="00EF4CF4" w:rsidRDefault="00EF4CF4" w:rsidP="002C007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Pr="007E5D3E">
        <w:rPr>
          <w:rFonts w:ascii="仿宋" w:eastAsia="仿宋" w:hAnsi="仿宋" w:hint="eastAsia"/>
          <w:sz w:val="32"/>
          <w:szCs w:val="32"/>
        </w:rPr>
        <w:t>、各部门应当将学术会议的名称、主要内容、参会人数、经费开支等情况在会议结束后一个月内在学校校园网（校内通知）内公示。</w:t>
      </w:r>
      <w:bookmarkStart w:id="0" w:name="_GoBack"/>
      <w:bookmarkEnd w:id="0"/>
    </w:p>
    <w:p w:rsidR="004128E0" w:rsidRDefault="004128E0" w:rsidP="002C007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备注：《中央和国家机关会议费管理办法》（财行【2016</w:t>
      </w:r>
      <w:r>
        <w:rPr>
          <w:rFonts w:ascii="仿宋" w:eastAsia="仿宋" w:hAnsi="仿宋"/>
          <w:sz w:val="32"/>
          <w:szCs w:val="32"/>
        </w:rPr>
        <w:t>】</w:t>
      </w:r>
      <w:r>
        <w:rPr>
          <w:rFonts w:ascii="仿宋" w:eastAsia="仿宋" w:hAnsi="仿宋" w:hint="eastAsia"/>
          <w:sz w:val="32"/>
          <w:szCs w:val="32"/>
        </w:rPr>
        <w:t>214号）文件中第二章规定：</w:t>
      </w:r>
    </w:p>
    <w:p w:rsidR="004128E0" w:rsidRPr="004128E0" w:rsidRDefault="004128E0" w:rsidP="004128E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/>
          <w:sz w:val="32"/>
          <w:szCs w:val="32"/>
        </w:rPr>
      </w:pPr>
      <w:r w:rsidRPr="004128E0">
        <w:rPr>
          <w:rFonts w:ascii="仿宋" w:eastAsia="仿宋" w:hAnsi="仿宋"/>
          <w:sz w:val="32"/>
          <w:szCs w:val="32"/>
        </w:rPr>
        <w:t>中央和国家机关会议分类如下:</w:t>
      </w:r>
    </w:p>
    <w:p w:rsidR="004128E0" w:rsidRPr="004128E0" w:rsidRDefault="004128E0" w:rsidP="004128E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/>
          <w:sz w:val="32"/>
          <w:szCs w:val="32"/>
        </w:rPr>
      </w:pPr>
      <w:r w:rsidRPr="004128E0">
        <w:rPr>
          <w:rFonts w:ascii="仿宋" w:eastAsia="仿宋" w:hAnsi="仿宋"/>
          <w:sz w:val="32"/>
          <w:szCs w:val="32"/>
        </w:rPr>
        <w:t>一类会议。是以党中央和国务院名义召开的,要求省、自治区、直辖市、计划单列市或中央部门负责同志参加的会议。</w:t>
      </w:r>
    </w:p>
    <w:p w:rsidR="004128E0" w:rsidRPr="004128E0" w:rsidRDefault="004128E0" w:rsidP="004128E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/>
          <w:sz w:val="32"/>
          <w:szCs w:val="32"/>
        </w:rPr>
      </w:pPr>
      <w:r w:rsidRPr="004128E0">
        <w:rPr>
          <w:rFonts w:ascii="仿宋" w:eastAsia="仿宋" w:hAnsi="仿宋"/>
          <w:sz w:val="32"/>
          <w:szCs w:val="32"/>
        </w:rPr>
        <w:t>二类会议。是党中央和国务院各部委、各直属机构,最高人民法院,最高人民检察院,各人民团体召开的,要求省、自治区、直辖市、计划单列市有关厅(局)或本系统、直属机构负责同志参加的会议。</w:t>
      </w:r>
    </w:p>
    <w:p w:rsidR="004128E0" w:rsidRPr="004128E0" w:rsidRDefault="004128E0" w:rsidP="004128E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/>
          <w:sz w:val="32"/>
          <w:szCs w:val="32"/>
        </w:rPr>
      </w:pPr>
      <w:r w:rsidRPr="004128E0">
        <w:rPr>
          <w:rFonts w:ascii="仿宋" w:eastAsia="仿宋" w:hAnsi="仿宋"/>
          <w:sz w:val="32"/>
          <w:szCs w:val="32"/>
        </w:rPr>
        <w:t>三类会议。是党中央和国务院各部委、各直属机构,最高人民法院,最高人民检察院,各人民团体及其所属内设机构召开的,要求省、自治区、直辖市、计划单列市有关厅(局)或本系统机构有关人员参加的会议。</w:t>
      </w:r>
    </w:p>
    <w:p w:rsidR="004128E0" w:rsidRPr="004128E0" w:rsidRDefault="004128E0" w:rsidP="004128E0">
      <w:pPr>
        <w:widowControl/>
        <w:shd w:val="clear" w:color="auto" w:fill="FFFFFF"/>
        <w:spacing w:line="360" w:lineRule="atLeast"/>
        <w:ind w:firstLine="480"/>
        <w:jc w:val="left"/>
        <w:rPr>
          <w:rFonts w:ascii="仿宋" w:eastAsia="仿宋" w:hAnsi="仿宋"/>
          <w:sz w:val="32"/>
          <w:szCs w:val="32"/>
        </w:rPr>
      </w:pPr>
      <w:r w:rsidRPr="004128E0">
        <w:rPr>
          <w:rFonts w:ascii="仿宋" w:eastAsia="仿宋" w:hAnsi="仿宋"/>
          <w:sz w:val="32"/>
          <w:szCs w:val="32"/>
        </w:rPr>
        <w:t>四类会议。是指除上述一、二、三类会议以外的其他业务性会议,包括小型研讨会、座谈会、评审会等。</w:t>
      </w:r>
    </w:p>
    <w:p w:rsidR="004128E0" w:rsidRPr="00EF4CF4" w:rsidRDefault="004128E0" w:rsidP="002C0074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128E0" w:rsidRPr="00EF4CF4" w:rsidSect="00316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6B" w:rsidRDefault="00817C6B" w:rsidP="004128E0">
      <w:r>
        <w:separator/>
      </w:r>
    </w:p>
  </w:endnote>
  <w:endnote w:type="continuationSeparator" w:id="0">
    <w:p w:rsidR="00817C6B" w:rsidRDefault="00817C6B" w:rsidP="0041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6B" w:rsidRDefault="00817C6B" w:rsidP="004128E0">
      <w:r>
        <w:separator/>
      </w:r>
    </w:p>
  </w:footnote>
  <w:footnote w:type="continuationSeparator" w:id="0">
    <w:p w:rsidR="00817C6B" w:rsidRDefault="00817C6B" w:rsidP="00412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E66"/>
    <w:rsid w:val="00172E2C"/>
    <w:rsid w:val="002C0074"/>
    <w:rsid w:val="00316569"/>
    <w:rsid w:val="004128E0"/>
    <w:rsid w:val="00815E66"/>
    <w:rsid w:val="00817C6B"/>
    <w:rsid w:val="00E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8E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8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8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高吉生</dc:creator>
  <cp:keywords/>
  <dc:description/>
  <cp:lastModifiedBy>Administrator</cp:lastModifiedBy>
  <cp:revision>3</cp:revision>
  <dcterms:created xsi:type="dcterms:W3CDTF">2017-12-11T00:55:00Z</dcterms:created>
  <dcterms:modified xsi:type="dcterms:W3CDTF">2018-11-15T07:18:00Z</dcterms:modified>
</cp:coreProperties>
</file>